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20"/>
          <w:szCs w:val="2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/>
          <w:sz w:val="28"/>
          <w:szCs w:val="22"/>
        </w:rPr>
        <w:t>多参数生物反馈仪</w:t>
      </w:r>
      <w:r>
        <w:rPr>
          <w:rFonts w:hint="eastAsia" w:ascii="黑体" w:hAnsi="黑体" w:eastAsia="黑体" w:cs="黑体"/>
          <w:b w:val="0"/>
          <w:bCs/>
          <w:sz w:val="28"/>
          <w:szCs w:val="22"/>
          <w:lang w:val="en-US" w:eastAsia="zh-CN"/>
        </w:rPr>
        <w:t>技术</w:t>
      </w:r>
      <w:r>
        <w:rPr>
          <w:rFonts w:hint="eastAsia" w:ascii="黑体" w:hAnsi="黑体" w:eastAsia="黑体" w:cs="黑体"/>
          <w:b w:val="0"/>
          <w:bCs/>
          <w:sz w:val="28"/>
          <w:szCs w:val="22"/>
        </w:rPr>
        <w:t>参数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▲医疗器械注册证适用范围：适用于焦虑症、儿童多动症等神经精神疾病的生物反馈治疗。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与患者接触的材料必须进行生物相容性的试验或评价。细胞毒性不大于1级，应无致敏反应，应无皮肤刺激反应。（需附检验报告）。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▲≧四通道多参数信号处理器：可监测和记录2导脑电(EEG)、2导肌电(EMG)。信号处理器的物理通道：均为独立通道。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AD采样率：肌电(EMG)通道≥2000Hz，脑电(EEG)≥250 Hz。AD采样位数：≥14位。精确度：脑电(EEG)、肌电(EMG)精确度误差≦±10%。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输入阻抗：≥50 MΩ。共模抑制比：脑电(EEG)通道≥110dB，肌电(EMG)、心电(EKG)通道≥100dB。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噪声电平：脑电(EEG)通道≦2µVp-p。肌电(EMG)通道≦5µVp-p。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▲测量范围：脑电(EEG)测量范围：2～500</w:t>
      </w:r>
      <w:bookmarkStart w:id="0" w:name="_Hlk30425054"/>
      <w:r>
        <w:rPr>
          <w:rFonts w:hint="eastAsia"/>
          <w:b w:val="0"/>
          <w:bCs w:val="0"/>
          <w:lang w:val="en-US" w:eastAsia="zh-CN"/>
        </w:rPr>
        <w:t>µ</w:t>
      </w:r>
      <w:bookmarkEnd w:id="0"/>
      <w:r>
        <w:rPr>
          <w:rFonts w:hint="eastAsia"/>
          <w:b w:val="0"/>
          <w:bCs w:val="0"/>
          <w:lang w:val="en-US" w:eastAsia="zh-CN"/>
        </w:rPr>
        <w:t>Vp-p或大于此范围。肌电(EMG)测量范围：5～5000µVp-p或大于此范围。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听觉反馈：可采用各种MIDI、WAVE、MP3等文件，还可以改变节奏、音调或音量。视觉反馈：可采用AVI、flash等格式的影像文件。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通道编辑软件： 提供≧60种物理算法，支持≧250个虚拟通道编辑。界面编辑软件：可自定义训练项目、选择可采集数据。方案编辑软件：串联界面，形成完成流程的评估-训练方案。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▲具有≧4种评估方式：基线阈值评估、脑电认知评估、心理测量评估量表、视听整合连续测试(IVA)。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反馈要求：脑电（EEG）及肌电（EMG）反馈输入端输入信号以后，可以通过手动阈值、自动阈值等形式，给予视觉、听觉等形式进行反馈提示，并通过输出端呈现给受试者。可采用五个界面进行训练，并可随意切换；可输出数字或模拟信号、直方图、两维频谱图、三维频谱图等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▲可同时采集脑电（EEG）信号和肌电（EMG）信号，进行时域信号处理、频域信号FFT转换，可同时进行双人、2位儿童训练者的同时训练。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可回放训练、进行分析并生成报告，支持多次训练趋势报告分析。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配置：1编码器1台、数据传输光缆 1根、数据传输接头1个、数据转接线缆 1根、 EEG传感器脑电传感器 1套、脑电电极线1套、电池1节、表面肌电头带1根、 BioNeuro Infiniti 1套、IVA-CPT视听整合连续测试软件 1套、心理测试评估量表软件 1套、电脑主机1套、液晶显示器 1台、推车1台。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整机保修三年以上。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EDA66"/>
    <w:multiLevelType w:val="singleLevel"/>
    <w:tmpl w:val="C04EDA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3C56E1"/>
    <w:rsid w:val="026842EF"/>
    <w:rsid w:val="02E42DB9"/>
    <w:rsid w:val="030F52BB"/>
    <w:rsid w:val="043F474B"/>
    <w:rsid w:val="0461681F"/>
    <w:rsid w:val="047F0FEB"/>
    <w:rsid w:val="05594211"/>
    <w:rsid w:val="05E05ABA"/>
    <w:rsid w:val="06D118A6"/>
    <w:rsid w:val="06F57A73"/>
    <w:rsid w:val="0842480A"/>
    <w:rsid w:val="0972111F"/>
    <w:rsid w:val="0C2801BA"/>
    <w:rsid w:val="0E1C5583"/>
    <w:rsid w:val="0EE63E27"/>
    <w:rsid w:val="0F3C2C45"/>
    <w:rsid w:val="0FED5320"/>
    <w:rsid w:val="11AF27EF"/>
    <w:rsid w:val="12CA5B28"/>
    <w:rsid w:val="148D505F"/>
    <w:rsid w:val="1534372C"/>
    <w:rsid w:val="15BF3FFD"/>
    <w:rsid w:val="15F35395"/>
    <w:rsid w:val="1715024D"/>
    <w:rsid w:val="179B0E1F"/>
    <w:rsid w:val="18FD19CE"/>
    <w:rsid w:val="1AF80A52"/>
    <w:rsid w:val="1B665E07"/>
    <w:rsid w:val="1C0E117B"/>
    <w:rsid w:val="1CDE6494"/>
    <w:rsid w:val="1D444728"/>
    <w:rsid w:val="1DA17DCD"/>
    <w:rsid w:val="1EDA0E63"/>
    <w:rsid w:val="1EED78DA"/>
    <w:rsid w:val="211329C7"/>
    <w:rsid w:val="216929AF"/>
    <w:rsid w:val="21FF6B6E"/>
    <w:rsid w:val="23782D02"/>
    <w:rsid w:val="23C12F77"/>
    <w:rsid w:val="249064A5"/>
    <w:rsid w:val="253A5FDE"/>
    <w:rsid w:val="25757B75"/>
    <w:rsid w:val="25E44CFA"/>
    <w:rsid w:val="26D23F28"/>
    <w:rsid w:val="276C31F9"/>
    <w:rsid w:val="28444AB8"/>
    <w:rsid w:val="28CC5225"/>
    <w:rsid w:val="2E530C6F"/>
    <w:rsid w:val="2FAD2601"/>
    <w:rsid w:val="30446AC1"/>
    <w:rsid w:val="31605B7D"/>
    <w:rsid w:val="33B3141F"/>
    <w:rsid w:val="34E24AFB"/>
    <w:rsid w:val="36162CAE"/>
    <w:rsid w:val="37555A58"/>
    <w:rsid w:val="38B36EDA"/>
    <w:rsid w:val="39EB371B"/>
    <w:rsid w:val="39F42601"/>
    <w:rsid w:val="3AD60C5E"/>
    <w:rsid w:val="3B922EDF"/>
    <w:rsid w:val="3BA1126C"/>
    <w:rsid w:val="3BB32D4D"/>
    <w:rsid w:val="3C5356DA"/>
    <w:rsid w:val="3F112DAF"/>
    <w:rsid w:val="40203EB7"/>
    <w:rsid w:val="40FF6732"/>
    <w:rsid w:val="411E510D"/>
    <w:rsid w:val="45EF0E26"/>
    <w:rsid w:val="463B406B"/>
    <w:rsid w:val="47280A93"/>
    <w:rsid w:val="473311D8"/>
    <w:rsid w:val="47A85730"/>
    <w:rsid w:val="487675DC"/>
    <w:rsid w:val="48A64365"/>
    <w:rsid w:val="48F30C2D"/>
    <w:rsid w:val="48F93438"/>
    <w:rsid w:val="4B3A6FE7"/>
    <w:rsid w:val="4B7C0A59"/>
    <w:rsid w:val="4BCE0491"/>
    <w:rsid w:val="50CB0B17"/>
    <w:rsid w:val="51390D05"/>
    <w:rsid w:val="5160707C"/>
    <w:rsid w:val="51A5400F"/>
    <w:rsid w:val="52DF5B47"/>
    <w:rsid w:val="531B76FE"/>
    <w:rsid w:val="55B728F9"/>
    <w:rsid w:val="55C061A9"/>
    <w:rsid w:val="55D80550"/>
    <w:rsid w:val="57B343A9"/>
    <w:rsid w:val="5822508B"/>
    <w:rsid w:val="58C85781"/>
    <w:rsid w:val="590D5D3B"/>
    <w:rsid w:val="5AE44879"/>
    <w:rsid w:val="5CDA194D"/>
    <w:rsid w:val="5DF41277"/>
    <w:rsid w:val="5E7F4B6A"/>
    <w:rsid w:val="5EC96260"/>
    <w:rsid w:val="5F426012"/>
    <w:rsid w:val="5F865A75"/>
    <w:rsid w:val="62676D56"/>
    <w:rsid w:val="62D75EEE"/>
    <w:rsid w:val="634405AB"/>
    <w:rsid w:val="636F2951"/>
    <w:rsid w:val="63C811DC"/>
    <w:rsid w:val="63F313D6"/>
    <w:rsid w:val="656E5EEF"/>
    <w:rsid w:val="6780592A"/>
    <w:rsid w:val="6BA442DD"/>
    <w:rsid w:val="6BB54603"/>
    <w:rsid w:val="6DB86273"/>
    <w:rsid w:val="6E3A3631"/>
    <w:rsid w:val="6F9208F0"/>
    <w:rsid w:val="708F7D90"/>
    <w:rsid w:val="70AB3A18"/>
    <w:rsid w:val="713741DD"/>
    <w:rsid w:val="72864737"/>
    <w:rsid w:val="72880EE4"/>
    <w:rsid w:val="73644352"/>
    <w:rsid w:val="73E57241"/>
    <w:rsid w:val="752D5343"/>
    <w:rsid w:val="75F303C2"/>
    <w:rsid w:val="766D6E76"/>
    <w:rsid w:val="766F54E7"/>
    <w:rsid w:val="78F66FE4"/>
    <w:rsid w:val="790C526F"/>
    <w:rsid w:val="793D367B"/>
    <w:rsid w:val="7A224EEB"/>
    <w:rsid w:val="7A5275FA"/>
    <w:rsid w:val="7B6969A9"/>
    <w:rsid w:val="7B83577B"/>
    <w:rsid w:val="7BE6712F"/>
    <w:rsid w:val="7DBD3705"/>
    <w:rsid w:val="7DF35587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hbr</cp:lastModifiedBy>
  <cp:lastPrinted>2023-11-16T03:50:00Z</cp:lastPrinted>
  <dcterms:modified xsi:type="dcterms:W3CDTF">2024-04-19T02:11:35Z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A6730AB76B3B46029DB22C2673B07D46</vt:lpwstr>
  </property>
</Properties>
</file>